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0"/>
        <w:gridCol w:w="1677"/>
        <w:gridCol w:w="3954"/>
      </w:tblGrid>
      <w:tr w:rsidR="00F51D99" w:rsidTr="00F51D99">
        <w:trPr>
          <w:trHeight w:val="1504"/>
        </w:trPr>
        <w:tc>
          <w:tcPr>
            <w:tcW w:w="4077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hideMark/>
          </w:tcPr>
          <w:p w:rsidR="00F51D99" w:rsidRDefault="00F51D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Republica Moldova</w:t>
            </w:r>
          </w:p>
          <w:p w:rsidR="00F51D99" w:rsidRDefault="00F51D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Raionul Anenii Noi</w:t>
            </w:r>
          </w:p>
          <w:p w:rsidR="00F51D99" w:rsidRDefault="00F51D99">
            <w:pPr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Consiliul  sătesc Gura Bîcului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hideMark/>
          </w:tcPr>
          <w:p w:rsidR="00F51D99" w:rsidRDefault="00F51D9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>
                  <wp:extent cx="628015" cy="628015"/>
                  <wp:effectExtent l="19050" t="0" r="635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hideMark/>
          </w:tcPr>
          <w:p w:rsidR="00F51D99" w:rsidRDefault="00F51D99">
            <w:pPr>
              <w:keepNext/>
              <w:tabs>
                <w:tab w:val="left" w:pos="5130"/>
              </w:tabs>
              <w:outlineLvl w:val="0"/>
              <w:rPr>
                <w:b/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   </w:t>
            </w:r>
            <w:r>
              <w:rPr>
                <w:b/>
                <w:color w:val="0000FF"/>
                <w:sz w:val="28"/>
                <w:szCs w:val="28"/>
              </w:rPr>
              <w:t xml:space="preserve">   Республика  Молдова</w:t>
            </w:r>
          </w:p>
          <w:p w:rsidR="00F51D99" w:rsidRDefault="00F51D99">
            <w:pPr>
              <w:keepNext/>
              <w:tabs>
                <w:tab w:val="left" w:pos="5130"/>
              </w:tabs>
              <w:outlineLvl w:val="0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      Район Анений Ной</w:t>
            </w:r>
          </w:p>
          <w:p w:rsidR="00F51D99" w:rsidRDefault="00F51D99">
            <w:pPr>
              <w:keepNext/>
              <w:tabs>
                <w:tab w:val="left" w:pos="5130"/>
              </w:tabs>
              <w:outlineLvl w:val="0"/>
              <w:rPr>
                <w:color w:val="FF0000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      Сельский совет Гура Быкулуй</w:t>
            </w:r>
          </w:p>
        </w:tc>
      </w:tr>
    </w:tbl>
    <w:p w:rsidR="00F51D99" w:rsidRDefault="00F51D99" w:rsidP="00F51D99">
      <w:pPr>
        <w:rPr>
          <w:rFonts w:cstheme="minorBidi"/>
          <w:vanish/>
          <w:sz w:val="20"/>
          <w:szCs w:val="20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6"/>
        <w:gridCol w:w="4964"/>
      </w:tblGrid>
      <w:tr w:rsidR="00F51D99" w:rsidTr="00F51D99">
        <w:trPr>
          <w:cantSplit/>
        </w:trPr>
        <w:tc>
          <w:tcPr>
            <w:tcW w:w="496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1D99" w:rsidRDefault="00F51D99">
            <w:pPr>
              <w:rPr>
                <w:sz w:val="20"/>
                <w:szCs w:val="20"/>
              </w:rPr>
            </w:pPr>
            <w:r>
              <w:rPr>
                <w:b/>
                <w:i/>
                <w:szCs w:val="20"/>
              </w:rPr>
              <w:t>MD-6523, r. Anenii Noi, s.Gura Bîcului                      fax:0-265-41-2-21,     tel:0-265- 41-1-94</w:t>
            </w:r>
          </w:p>
        </w:tc>
        <w:tc>
          <w:tcPr>
            <w:tcW w:w="49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51D99" w:rsidRDefault="00F51D99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Cs w:val="20"/>
              </w:rPr>
              <w:t>MD-6523.Анений Ной, с.Гура Быкулуй            факс: 0--265-41-2-21,   тел:0-265-41-1-94</w:t>
            </w:r>
          </w:p>
        </w:tc>
      </w:tr>
    </w:tbl>
    <w:p w:rsidR="00F51D99" w:rsidRDefault="00F51D99" w:rsidP="00F51D99">
      <w:pPr>
        <w:jc w:val="right"/>
        <w:rPr>
          <w:rFonts w:cstheme="minorBidi"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PROIECT</w:t>
      </w:r>
    </w:p>
    <w:p w:rsidR="008B315B" w:rsidRPr="00E75CF2" w:rsidRDefault="008B315B" w:rsidP="008B315B">
      <w:pPr>
        <w:tabs>
          <w:tab w:val="center" w:pos="467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</w:t>
      </w:r>
    </w:p>
    <w:p w:rsidR="008B315B" w:rsidRPr="004C712C" w:rsidRDefault="008B315B" w:rsidP="008B315B">
      <w:pPr>
        <w:jc w:val="both"/>
      </w:pPr>
    </w:p>
    <w:p w:rsidR="008B315B" w:rsidRPr="00305546" w:rsidRDefault="00F51D99" w:rsidP="008B31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DECIZIE nr. 03/1</w:t>
      </w:r>
    </w:p>
    <w:p w:rsidR="008B315B" w:rsidRPr="00E75CF2" w:rsidRDefault="008B315B" w:rsidP="008B315B">
      <w:pPr>
        <w:jc w:val="center"/>
        <w:rPr>
          <w:sz w:val="28"/>
          <w:szCs w:val="28"/>
        </w:rPr>
      </w:pPr>
      <w:r>
        <w:rPr>
          <w:sz w:val="28"/>
          <w:szCs w:val="28"/>
        </w:rPr>
        <w:t>din 12</w:t>
      </w:r>
      <w:r w:rsidRPr="00D21E7E">
        <w:rPr>
          <w:sz w:val="28"/>
          <w:szCs w:val="28"/>
        </w:rPr>
        <w:t xml:space="preserve"> </w:t>
      </w:r>
      <w:r>
        <w:rPr>
          <w:sz w:val="28"/>
          <w:szCs w:val="28"/>
        </w:rPr>
        <w:t>decembrie</w:t>
      </w:r>
      <w:r w:rsidRPr="00D21E7E">
        <w:rPr>
          <w:sz w:val="28"/>
          <w:szCs w:val="28"/>
        </w:rPr>
        <w:t xml:space="preserve">  2023</w:t>
      </w:r>
    </w:p>
    <w:p w:rsidR="008B315B" w:rsidRDefault="008B315B" w:rsidP="008B315B">
      <w:pPr>
        <w:jc w:val="both"/>
        <w:rPr>
          <w:b/>
          <w:bCs/>
          <w:sz w:val="28"/>
          <w:lang w:val="en-US"/>
        </w:rPr>
      </w:pPr>
    </w:p>
    <w:p w:rsidR="008B315B" w:rsidRDefault="008B315B" w:rsidP="008B315B">
      <w:pPr>
        <w:jc w:val="both"/>
        <w:rPr>
          <w:b/>
          <w:bCs/>
          <w:i/>
          <w:sz w:val="28"/>
          <w:lang w:val="en-US"/>
        </w:rPr>
      </w:pPr>
      <w:r w:rsidRPr="002F7942">
        <w:rPr>
          <w:b/>
          <w:bCs/>
          <w:i/>
          <w:sz w:val="28"/>
          <w:lang w:val="en-US"/>
        </w:rPr>
        <w:t>,</w:t>
      </w:r>
      <w:proofErr w:type="gramStart"/>
      <w:r w:rsidRPr="002F7942">
        <w:rPr>
          <w:b/>
          <w:bCs/>
          <w:i/>
          <w:sz w:val="28"/>
          <w:lang w:val="en-US"/>
        </w:rPr>
        <w:t>,Cu</w:t>
      </w:r>
      <w:proofErr w:type="gramEnd"/>
      <w:r w:rsidRPr="002F7942">
        <w:rPr>
          <w:b/>
          <w:bCs/>
          <w:i/>
          <w:sz w:val="28"/>
          <w:lang w:val="en-US"/>
        </w:rPr>
        <w:t xml:space="preserve"> </w:t>
      </w:r>
      <w:proofErr w:type="spellStart"/>
      <w:r w:rsidRPr="002F7942">
        <w:rPr>
          <w:b/>
          <w:bCs/>
          <w:i/>
          <w:sz w:val="28"/>
          <w:lang w:val="en-US"/>
        </w:rPr>
        <w:t>privire</w:t>
      </w:r>
      <w:proofErr w:type="spellEnd"/>
      <w:r w:rsidRPr="002F7942">
        <w:rPr>
          <w:b/>
          <w:bCs/>
          <w:i/>
          <w:sz w:val="28"/>
          <w:lang w:val="en-US"/>
        </w:rPr>
        <w:t xml:space="preserve"> la</w:t>
      </w:r>
      <w:r>
        <w:rPr>
          <w:b/>
          <w:bCs/>
          <w:i/>
          <w:sz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lang w:val="en-US"/>
        </w:rPr>
        <w:t>aprobarea</w:t>
      </w:r>
      <w:proofErr w:type="spellEnd"/>
      <w:r>
        <w:rPr>
          <w:b/>
          <w:bCs/>
          <w:i/>
          <w:sz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lang w:val="en-US"/>
        </w:rPr>
        <w:t>bugetului</w:t>
      </w:r>
      <w:proofErr w:type="spellEnd"/>
      <w:r>
        <w:rPr>
          <w:b/>
          <w:bCs/>
          <w:i/>
          <w:sz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lang w:val="en-US"/>
        </w:rPr>
        <w:t>primăriei</w:t>
      </w:r>
      <w:proofErr w:type="spellEnd"/>
      <w:r>
        <w:rPr>
          <w:b/>
          <w:bCs/>
          <w:i/>
          <w:sz w:val="28"/>
          <w:lang w:val="en-US"/>
        </w:rPr>
        <w:t xml:space="preserve"> </w:t>
      </w:r>
    </w:p>
    <w:p w:rsidR="008B315B" w:rsidRDefault="008B315B" w:rsidP="008B315B">
      <w:pPr>
        <w:jc w:val="both"/>
        <w:rPr>
          <w:b/>
          <w:bCs/>
          <w:i/>
          <w:sz w:val="28"/>
          <w:lang w:val="en-US"/>
        </w:rPr>
      </w:pPr>
      <w:proofErr w:type="spellStart"/>
      <w:r>
        <w:rPr>
          <w:b/>
          <w:bCs/>
          <w:i/>
          <w:sz w:val="28"/>
          <w:lang w:val="en-US"/>
        </w:rPr>
        <w:t>Gura</w:t>
      </w:r>
      <w:proofErr w:type="spellEnd"/>
      <w:r>
        <w:rPr>
          <w:b/>
          <w:bCs/>
          <w:i/>
          <w:sz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lang w:val="en-US"/>
        </w:rPr>
        <w:t>Bîcului</w:t>
      </w:r>
      <w:proofErr w:type="spellEnd"/>
      <w:r>
        <w:rPr>
          <w:b/>
          <w:bCs/>
          <w:i/>
          <w:sz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lang w:val="en-US"/>
        </w:rPr>
        <w:t>pentru</w:t>
      </w:r>
      <w:proofErr w:type="spellEnd"/>
      <w:r>
        <w:rPr>
          <w:b/>
          <w:bCs/>
          <w:i/>
          <w:sz w:val="28"/>
          <w:lang w:val="en-US"/>
        </w:rPr>
        <w:t xml:space="preserve"> </w:t>
      </w:r>
      <w:proofErr w:type="spellStart"/>
      <w:r>
        <w:rPr>
          <w:b/>
          <w:bCs/>
          <w:i/>
          <w:sz w:val="28"/>
          <w:lang w:val="en-US"/>
        </w:rPr>
        <w:t>anul</w:t>
      </w:r>
      <w:proofErr w:type="spellEnd"/>
      <w:r>
        <w:rPr>
          <w:b/>
          <w:bCs/>
          <w:i/>
          <w:sz w:val="28"/>
          <w:lang w:val="en-US"/>
        </w:rPr>
        <w:t xml:space="preserve"> 2024 </w:t>
      </w:r>
      <w:proofErr w:type="spellStart"/>
      <w:r>
        <w:rPr>
          <w:b/>
          <w:bCs/>
          <w:i/>
          <w:sz w:val="28"/>
          <w:lang w:val="en-US"/>
        </w:rPr>
        <w:t>în</w:t>
      </w:r>
      <w:proofErr w:type="spellEnd"/>
      <w:r>
        <w:rPr>
          <w:b/>
          <w:bCs/>
          <w:i/>
          <w:sz w:val="28"/>
          <w:lang w:val="en-US"/>
        </w:rPr>
        <w:t xml:space="preserve"> prima </w:t>
      </w:r>
      <w:proofErr w:type="spellStart"/>
      <w:r>
        <w:rPr>
          <w:b/>
          <w:bCs/>
          <w:i/>
          <w:sz w:val="28"/>
          <w:lang w:val="en-US"/>
        </w:rPr>
        <w:t>lectur</w:t>
      </w:r>
      <w:proofErr w:type="spellEnd"/>
      <w:r>
        <w:rPr>
          <w:b/>
          <w:bCs/>
          <w:i/>
          <w:sz w:val="28"/>
        </w:rPr>
        <w:t>ă</w:t>
      </w:r>
      <w:r w:rsidRPr="002F7942">
        <w:rPr>
          <w:b/>
          <w:bCs/>
          <w:i/>
          <w:sz w:val="28"/>
          <w:lang w:val="en-US"/>
        </w:rPr>
        <w:t>”</w:t>
      </w:r>
    </w:p>
    <w:p w:rsidR="00157B93" w:rsidRPr="008B315B" w:rsidRDefault="00157B93" w:rsidP="00157B93">
      <w:pPr>
        <w:rPr>
          <w:lang w:val="en-US"/>
        </w:rPr>
      </w:pPr>
    </w:p>
    <w:p w:rsidR="00157B93" w:rsidRDefault="00157B93" w:rsidP="008B315B">
      <w:pPr>
        <w:ind w:firstLine="708"/>
        <w:jc w:val="both"/>
      </w:pPr>
      <w:r>
        <w:t xml:space="preserve">Examinînd bugetul primăriei </w:t>
      </w:r>
      <w:r w:rsidR="008B315B">
        <w:t>satului Gura Bîcului</w:t>
      </w:r>
      <w:r>
        <w:t xml:space="preserve"> în prima lectură pentru anul 2024</w:t>
      </w:r>
      <w:r w:rsidR="00356E1E">
        <w:t xml:space="preserve">, în temeiul art. 14 (2) n) a Legii privind administrația publică locală nr. 436-XVI din 28 decembrie 2006, în conformitate cu </w:t>
      </w:r>
      <w:r w:rsidR="009715DE">
        <w:t>art.55 din Legea</w:t>
      </w:r>
      <w:r w:rsidR="00356E1E">
        <w:t xml:space="preserve"> </w:t>
      </w:r>
      <w:r w:rsidR="009715DE">
        <w:t>finațelor</w:t>
      </w:r>
      <w:r w:rsidR="00356E1E">
        <w:t xml:space="preserve"> publice și responsabilității bugetar</w:t>
      </w:r>
      <w:r w:rsidR="009715DE">
        <w:t xml:space="preserve"> </w:t>
      </w:r>
      <w:r w:rsidR="00356E1E">
        <w:t>-</w:t>
      </w:r>
      <w:r w:rsidR="009715DE">
        <w:t xml:space="preserve"> </w:t>
      </w:r>
      <w:r w:rsidR="00356E1E">
        <w:t xml:space="preserve">fiscale nr. 181 din 25 iulie 2014 și ținînd cont de Legea nr.397-XV din 16 octombrie 2003 privind finanțele locale, </w:t>
      </w:r>
      <w:r w:rsidR="0018529B" w:rsidRPr="00932FF9">
        <w:t>cu Setul metodologic privind elaborarea, aprobarea şi modificarea bugetului aprobat prin ordinul Ministerului Fin</w:t>
      </w:r>
      <w:r w:rsidR="0018529B">
        <w:t xml:space="preserve">anţelor nr. 209 din 24.12.2015, avînd în vedere avizul comisiei consultative de specialitate, Consiliul </w:t>
      </w:r>
      <w:r w:rsidR="008B315B">
        <w:t>Local Gura Bîcului</w:t>
      </w:r>
    </w:p>
    <w:p w:rsidR="00337CF0" w:rsidRDefault="00337CF0" w:rsidP="0018529B">
      <w:pPr>
        <w:ind w:firstLine="708"/>
      </w:pPr>
    </w:p>
    <w:p w:rsidR="0018529B" w:rsidRDefault="0018529B" w:rsidP="008B315B">
      <w:pPr>
        <w:ind w:firstLine="708"/>
        <w:jc w:val="center"/>
        <w:rPr>
          <w:b/>
        </w:rPr>
      </w:pPr>
      <w:r w:rsidRPr="00337CF0">
        <w:rPr>
          <w:b/>
        </w:rPr>
        <w:t>DECIDE:</w:t>
      </w:r>
    </w:p>
    <w:p w:rsidR="008B315B" w:rsidRPr="00337CF0" w:rsidRDefault="008B315B" w:rsidP="008B315B">
      <w:pPr>
        <w:ind w:firstLine="708"/>
        <w:jc w:val="center"/>
        <w:rPr>
          <w:b/>
        </w:rPr>
      </w:pPr>
    </w:p>
    <w:p w:rsidR="0018529B" w:rsidRDefault="00337CF0" w:rsidP="00337CF0">
      <w:pPr>
        <w:pStyle w:val="a3"/>
        <w:numPr>
          <w:ilvl w:val="0"/>
          <w:numId w:val="1"/>
        </w:numPr>
      </w:pPr>
      <w:r>
        <w:t xml:space="preserve">Se aprobă în prima lectură bugetul primăriei </w:t>
      </w:r>
      <w:r w:rsidR="008B315B">
        <w:t>satului Gura Bîcului</w:t>
      </w:r>
      <w:r>
        <w:t xml:space="preserve"> pentru anul 2024 la </w:t>
      </w:r>
      <w:r w:rsidRPr="00337CF0">
        <w:rPr>
          <w:b/>
          <w:i/>
        </w:rPr>
        <w:t xml:space="preserve">venituri </w:t>
      </w:r>
      <w:r>
        <w:t xml:space="preserve"> în sumă de </w:t>
      </w:r>
      <w:r w:rsidR="008B315B">
        <w:rPr>
          <w:b/>
          <w:i/>
        </w:rPr>
        <w:t>19 462,5</w:t>
      </w:r>
      <w:r w:rsidRPr="00337CF0">
        <w:rPr>
          <w:b/>
          <w:i/>
        </w:rPr>
        <w:t xml:space="preserve"> mii lei</w:t>
      </w:r>
      <w:r>
        <w:t xml:space="preserve"> și </w:t>
      </w:r>
      <w:r w:rsidRPr="00337CF0">
        <w:rPr>
          <w:b/>
          <w:i/>
        </w:rPr>
        <w:t xml:space="preserve">cheltuieli </w:t>
      </w:r>
      <w:r w:rsidR="008B315B">
        <w:rPr>
          <w:b/>
          <w:i/>
        </w:rPr>
        <w:t>19 462,5</w:t>
      </w:r>
      <w:r w:rsidRPr="00337CF0">
        <w:rPr>
          <w:b/>
          <w:i/>
        </w:rPr>
        <w:t xml:space="preserve"> mii lei</w:t>
      </w:r>
      <w:r>
        <w:t>.</w:t>
      </w:r>
    </w:p>
    <w:p w:rsidR="00337CF0" w:rsidRDefault="00337CF0" w:rsidP="00337CF0">
      <w:pPr>
        <w:pStyle w:val="a3"/>
        <w:numPr>
          <w:ilvl w:val="0"/>
          <w:numId w:val="1"/>
        </w:numPr>
      </w:pPr>
      <w:r>
        <w:t>Prezenta decizie poate fi notificată autorității publice</w:t>
      </w:r>
      <w:r w:rsidR="008B315B">
        <w:t xml:space="preserve"> </w:t>
      </w:r>
      <w:r>
        <w:t>emitente de Oficiul Teritorial Căușeni al Cancelariei de Stat în termen de 30 zile de la data includerii actului în Registrul de Stat al actelor locale.</w:t>
      </w:r>
    </w:p>
    <w:p w:rsidR="00337CF0" w:rsidRDefault="00337CF0" w:rsidP="00337CF0">
      <w:pPr>
        <w:pStyle w:val="a3"/>
        <w:numPr>
          <w:ilvl w:val="0"/>
          <w:numId w:val="1"/>
        </w:numPr>
      </w:pPr>
      <w:r>
        <w:t>Prezenta decizie poate fi contestată de persoana interesată prin intermediul Judecătoriei Anenii Noi, sediul Central (or. Anenii Noi, str. Mărțișor, nr. 15) în termen de 30 zile de la comunicare.</w:t>
      </w:r>
    </w:p>
    <w:p w:rsidR="008B315B" w:rsidRPr="00332616" w:rsidRDefault="008B315B" w:rsidP="008B315B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332616">
        <w:rPr>
          <w:lang w:val="en-US"/>
        </w:rPr>
        <w:t>Controlul</w:t>
      </w:r>
      <w:proofErr w:type="spellEnd"/>
      <w:r w:rsidRPr="00332616">
        <w:rPr>
          <w:lang w:val="en-US"/>
        </w:rPr>
        <w:t xml:space="preserve"> </w:t>
      </w:r>
      <w:proofErr w:type="spellStart"/>
      <w:r w:rsidRPr="00332616">
        <w:rPr>
          <w:lang w:val="en-US"/>
        </w:rPr>
        <w:t>asupra</w:t>
      </w:r>
      <w:proofErr w:type="spellEnd"/>
      <w:r w:rsidRPr="00332616">
        <w:rPr>
          <w:lang w:val="en-US"/>
        </w:rPr>
        <w:t xml:space="preserve"> </w:t>
      </w:r>
      <w:proofErr w:type="spellStart"/>
      <w:r w:rsidRPr="00332616">
        <w:rPr>
          <w:lang w:val="en-US"/>
        </w:rPr>
        <w:t>executării</w:t>
      </w:r>
      <w:proofErr w:type="spellEnd"/>
      <w:r w:rsidRPr="00332616">
        <w:rPr>
          <w:lang w:val="en-US"/>
        </w:rPr>
        <w:t xml:space="preserve"> </w:t>
      </w:r>
      <w:proofErr w:type="spellStart"/>
      <w:r w:rsidRPr="00332616">
        <w:rPr>
          <w:lang w:val="en-US"/>
        </w:rPr>
        <w:t>prezentei</w:t>
      </w:r>
      <w:proofErr w:type="spellEnd"/>
      <w:r w:rsidRPr="00332616">
        <w:rPr>
          <w:lang w:val="en-US"/>
        </w:rPr>
        <w:t xml:space="preserve"> </w:t>
      </w:r>
      <w:proofErr w:type="spellStart"/>
      <w:r w:rsidRPr="00332616">
        <w:rPr>
          <w:lang w:val="en-US"/>
        </w:rPr>
        <w:t>decizii</w:t>
      </w:r>
      <w:proofErr w:type="spellEnd"/>
      <w:r w:rsidRPr="00332616">
        <w:rPr>
          <w:lang w:val="en-US"/>
        </w:rPr>
        <w:t xml:space="preserve"> se </w:t>
      </w:r>
      <w:proofErr w:type="spellStart"/>
      <w:r w:rsidRPr="00332616">
        <w:rPr>
          <w:lang w:val="en-US"/>
        </w:rPr>
        <w:t>pune</w:t>
      </w:r>
      <w:proofErr w:type="spellEnd"/>
      <w:r w:rsidRPr="00332616">
        <w:rPr>
          <w:lang w:val="en-US"/>
        </w:rPr>
        <w:t xml:space="preserve"> </w:t>
      </w:r>
      <w:proofErr w:type="spellStart"/>
      <w:r w:rsidRPr="00332616">
        <w:rPr>
          <w:lang w:val="en-US"/>
        </w:rPr>
        <w:t>în</w:t>
      </w:r>
      <w:proofErr w:type="spellEnd"/>
      <w:r w:rsidRPr="00332616">
        <w:rPr>
          <w:lang w:val="en-US"/>
        </w:rPr>
        <w:t xml:space="preserve"> </w:t>
      </w:r>
      <w:proofErr w:type="spellStart"/>
      <w:r w:rsidRPr="00332616">
        <w:rPr>
          <w:lang w:val="en-US"/>
        </w:rPr>
        <w:t>seama</w:t>
      </w:r>
      <w:proofErr w:type="spellEnd"/>
      <w:r w:rsidRPr="00332616">
        <w:rPr>
          <w:lang w:val="en-US"/>
        </w:rPr>
        <w:t xml:space="preserve"> </w:t>
      </w:r>
      <w:proofErr w:type="spellStart"/>
      <w:r w:rsidRPr="00332616">
        <w:rPr>
          <w:lang w:val="en-US"/>
        </w:rPr>
        <w:t>primăriței</w:t>
      </w:r>
      <w:proofErr w:type="spellEnd"/>
      <w:r w:rsidRPr="00332616">
        <w:rPr>
          <w:lang w:val="en-US"/>
        </w:rPr>
        <w:t xml:space="preserve"> </w:t>
      </w:r>
      <w:proofErr w:type="spellStart"/>
      <w:proofErr w:type="gramStart"/>
      <w:r w:rsidRPr="00332616">
        <w:rPr>
          <w:lang w:val="en-US"/>
        </w:rPr>
        <w:t>dna</w:t>
      </w:r>
      <w:proofErr w:type="spellEnd"/>
      <w:proofErr w:type="gramEnd"/>
      <w:r w:rsidRPr="00332616">
        <w:rPr>
          <w:lang w:val="en-US"/>
        </w:rPr>
        <w:t xml:space="preserve"> Lilia BREHOVA.</w:t>
      </w:r>
    </w:p>
    <w:p w:rsidR="00337CF0" w:rsidRPr="008B315B" w:rsidRDefault="00337CF0" w:rsidP="00337CF0">
      <w:pPr>
        <w:rPr>
          <w:lang w:val="en-US"/>
        </w:rPr>
      </w:pPr>
    </w:p>
    <w:p w:rsidR="00357CC0" w:rsidRDefault="00357CC0" w:rsidP="00337CF0"/>
    <w:p w:rsidR="00DD5BE5" w:rsidRPr="001B5457" w:rsidRDefault="00DD5BE5" w:rsidP="00DD5BE5">
      <w:pPr>
        <w:jc w:val="both"/>
        <w:rPr>
          <w:b/>
          <w:sz w:val="28"/>
          <w:szCs w:val="28"/>
        </w:rPr>
      </w:pPr>
      <w:r w:rsidRPr="001B5457">
        <w:rPr>
          <w:b/>
          <w:sz w:val="28"/>
          <w:szCs w:val="28"/>
        </w:rPr>
        <w:t xml:space="preserve">Au votat:  pro -   ,  s-au abținut- ,  împotrivă-  . </w:t>
      </w:r>
    </w:p>
    <w:p w:rsidR="00DD5BE5" w:rsidRPr="001B5457" w:rsidRDefault="00DD5BE5" w:rsidP="00DD5BE5">
      <w:pPr>
        <w:jc w:val="both"/>
        <w:rPr>
          <w:rFonts w:eastAsia="Calibri"/>
          <w:b/>
          <w:sz w:val="28"/>
          <w:szCs w:val="28"/>
        </w:rPr>
      </w:pPr>
    </w:p>
    <w:p w:rsidR="00DD5BE5" w:rsidRPr="003C6ADD" w:rsidRDefault="00DD5BE5" w:rsidP="00DD5BE5">
      <w:pPr>
        <w:rPr>
          <w:sz w:val="28"/>
          <w:szCs w:val="28"/>
        </w:rPr>
      </w:pPr>
    </w:p>
    <w:p w:rsidR="00DD5BE5" w:rsidRPr="00D91915" w:rsidRDefault="00DD5BE5" w:rsidP="00DD5BE5">
      <w:pPr>
        <w:spacing w:after="240"/>
        <w:rPr>
          <w:b/>
          <w:bCs/>
          <w:sz w:val="28"/>
          <w:szCs w:val="28"/>
          <w:lang w:val="en-US"/>
        </w:rPr>
      </w:pPr>
      <w:proofErr w:type="spellStart"/>
      <w:r w:rsidRPr="00D91915">
        <w:rPr>
          <w:b/>
          <w:bCs/>
          <w:sz w:val="28"/>
          <w:szCs w:val="28"/>
          <w:lang w:val="en-US"/>
        </w:rPr>
        <w:t>Preşedintele</w:t>
      </w:r>
      <w:proofErr w:type="spellEnd"/>
      <w:r w:rsidRPr="00D9191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915">
        <w:rPr>
          <w:b/>
          <w:bCs/>
          <w:sz w:val="28"/>
          <w:szCs w:val="28"/>
          <w:lang w:val="en-US"/>
        </w:rPr>
        <w:t>şedinţei</w:t>
      </w:r>
      <w:proofErr w:type="spellEnd"/>
      <w:r w:rsidRPr="00D91915">
        <w:rPr>
          <w:b/>
          <w:bCs/>
          <w:sz w:val="28"/>
          <w:szCs w:val="28"/>
          <w:lang w:val="en-US"/>
        </w:rPr>
        <w:t xml:space="preserve">                                              </w:t>
      </w:r>
      <w:r>
        <w:rPr>
          <w:b/>
          <w:bCs/>
          <w:sz w:val="28"/>
          <w:szCs w:val="28"/>
          <w:lang w:val="en-US"/>
        </w:rPr>
        <w:t xml:space="preserve">                              </w:t>
      </w:r>
    </w:p>
    <w:p w:rsidR="00DD5BE5" w:rsidRPr="00D91915" w:rsidRDefault="00DD5BE5" w:rsidP="00DD5BE5">
      <w:pPr>
        <w:rPr>
          <w:b/>
          <w:bCs/>
          <w:sz w:val="28"/>
          <w:szCs w:val="28"/>
          <w:lang w:val="en-US"/>
        </w:rPr>
      </w:pPr>
      <w:proofErr w:type="spellStart"/>
      <w:r w:rsidRPr="00D91915">
        <w:rPr>
          <w:b/>
          <w:bCs/>
          <w:sz w:val="28"/>
          <w:szCs w:val="28"/>
          <w:lang w:val="en-US"/>
        </w:rPr>
        <w:t>Contrasemnează</w:t>
      </w:r>
      <w:proofErr w:type="spellEnd"/>
      <w:r w:rsidRPr="00D91915">
        <w:rPr>
          <w:b/>
          <w:bCs/>
          <w:sz w:val="28"/>
          <w:szCs w:val="28"/>
          <w:lang w:val="en-US"/>
        </w:rPr>
        <w:t xml:space="preserve">:                                                                   </w:t>
      </w:r>
    </w:p>
    <w:p w:rsidR="00DD5BE5" w:rsidRPr="00D91915" w:rsidRDefault="00DD5BE5" w:rsidP="00DD5BE5">
      <w:pPr>
        <w:rPr>
          <w:b/>
          <w:bCs/>
          <w:sz w:val="28"/>
          <w:szCs w:val="28"/>
          <w:lang w:val="en-US"/>
        </w:rPr>
      </w:pPr>
      <w:proofErr w:type="spellStart"/>
      <w:r w:rsidRPr="00D91915">
        <w:rPr>
          <w:b/>
          <w:bCs/>
          <w:sz w:val="28"/>
          <w:szCs w:val="28"/>
          <w:lang w:val="en-US"/>
        </w:rPr>
        <w:t>Secretarul</w:t>
      </w:r>
      <w:proofErr w:type="spellEnd"/>
      <w:r w:rsidRPr="00D91915"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C</w:t>
      </w:r>
      <w:r w:rsidRPr="00D91915">
        <w:rPr>
          <w:b/>
          <w:bCs/>
          <w:sz w:val="28"/>
          <w:szCs w:val="28"/>
          <w:lang w:val="en-US"/>
        </w:rPr>
        <w:t>onsiliului</w:t>
      </w:r>
      <w:proofErr w:type="spellEnd"/>
      <w:r w:rsidRPr="00D91915">
        <w:rPr>
          <w:b/>
          <w:bCs/>
          <w:sz w:val="28"/>
          <w:szCs w:val="28"/>
          <w:lang w:val="en-US"/>
        </w:rPr>
        <w:t xml:space="preserve"> local </w:t>
      </w:r>
      <w:r>
        <w:rPr>
          <w:b/>
          <w:bCs/>
          <w:sz w:val="28"/>
          <w:szCs w:val="28"/>
          <w:lang w:val="en-US"/>
        </w:rPr>
        <w:t xml:space="preserve">                                                         Ana CHIPER</w:t>
      </w:r>
    </w:p>
    <w:p w:rsidR="00DD5BE5" w:rsidRPr="006137C0" w:rsidRDefault="00DD5BE5" w:rsidP="00DD5BE5">
      <w:pPr>
        <w:rPr>
          <w:lang w:val="en-US"/>
        </w:rPr>
      </w:pPr>
    </w:p>
    <w:p w:rsidR="0018529B" w:rsidRPr="008B315B" w:rsidRDefault="0018529B" w:rsidP="0018529B">
      <w:pPr>
        <w:ind w:firstLine="708"/>
        <w:rPr>
          <w:lang w:val="en-US"/>
        </w:rPr>
      </w:pPr>
    </w:p>
    <w:sectPr w:rsidR="0018529B" w:rsidRPr="008B315B" w:rsidSect="00BF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32ED7"/>
    <w:multiLevelType w:val="hybridMultilevel"/>
    <w:tmpl w:val="C4CC3DDE"/>
    <w:lvl w:ilvl="0" w:tplc="C96267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DA00B8"/>
    <w:multiLevelType w:val="hybridMultilevel"/>
    <w:tmpl w:val="6A5E1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57B93"/>
    <w:rsid w:val="000E7E87"/>
    <w:rsid w:val="00157B93"/>
    <w:rsid w:val="0018529B"/>
    <w:rsid w:val="00337CF0"/>
    <w:rsid w:val="00356E1E"/>
    <w:rsid w:val="00357CC0"/>
    <w:rsid w:val="005A43FB"/>
    <w:rsid w:val="005B3390"/>
    <w:rsid w:val="006F442D"/>
    <w:rsid w:val="008B315B"/>
    <w:rsid w:val="009715DE"/>
    <w:rsid w:val="00B75BF3"/>
    <w:rsid w:val="00BF5783"/>
    <w:rsid w:val="00CD1FC0"/>
    <w:rsid w:val="00DD5BE5"/>
    <w:rsid w:val="00F51D99"/>
    <w:rsid w:val="00F962B6"/>
    <w:rsid w:val="00FF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uiPriority w:val="9"/>
    <w:qFormat/>
    <w:rsid w:val="00157B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B93"/>
    <w:rPr>
      <w:rFonts w:ascii="Cambria" w:eastAsia="Times New Roman" w:hAnsi="Cambria" w:cs="Times New Roman"/>
      <w:b/>
      <w:bCs/>
      <w:kern w:val="32"/>
      <w:sz w:val="32"/>
      <w:szCs w:val="32"/>
      <w:lang w:val="ro-RO" w:eastAsia="ru-RU"/>
    </w:rPr>
  </w:style>
  <w:style w:type="paragraph" w:styleId="a3">
    <w:name w:val="List Paragraph"/>
    <w:basedOn w:val="a"/>
    <w:uiPriority w:val="34"/>
    <w:qFormat/>
    <w:rsid w:val="00337CF0"/>
    <w:pPr>
      <w:ind w:left="720"/>
      <w:contextualSpacing/>
    </w:pPr>
  </w:style>
  <w:style w:type="table" w:styleId="a4">
    <w:name w:val="Table Grid"/>
    <w:basedOn w:val="a1"/>
    <w:rsid w:val="008B3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B315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31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15B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2023-12-07T14:18:00Z</cp:lastPrinted>
  <dcterms:created xsi:type="dcterms:W3CDTF">2023-11-27T10:38:00Z</dcterms:created>
  <dcterms:modified xsi:type="dcterms:W3CDTF">2023-12-11T16:44:00Z</dcterms:modified>
</cp:coreProperties>
</file>